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AAA" w:rsidRDefault="004E0AAA" w:rsidP="001A64E4">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r>
      <w:r>
        <w:rPr>
          <w:rFonts w:ascii="Arial-BoldMT" w:hAnsi="Arial-BoldMT" w:cs="Arial-BoldMT"/>
          <w:b/>
          <w:bCs/>
          <w:sz w:val="28"/>
          <w:szCs w:val="28"/>
        </w:rPr>
        <w:tab/>
        <w:t xml:space="preserve">  </w:t>
      </w:r>
      <w:r>
        <w:rPr>
          <w:rFonts w:ascii="Arial-BoldMT" w:hAnsi="Arial-BoldMT" w:cs="Arial-BoldMT"/>
          <w:b/>
          <w:bCs/>
          <w:sz w:val="28"/>
          <w:szCs w:val="28"/>
        </w:rPr>
        <w:tab/>
        <w:t>Appendix A</w:t>
      </w:r>
    </w:p>
    <w:p w:rsidR="004E0AAA" w:rsidRDefault="004E0AAA" w:rsidP="001A64E4">
      <w:pPr>
        <w:autoSpaceDE w:val="0"/>
        <w:autoSpaceDN w:val="0"/>
        <w:adjustRightInd w:val="0"/>
        <w:spacing w:after="0" w:line="240" w:lineRule="auto"/>
        <w:jc w:val="both"/>
        <w:rPr>
          <w:rFonts w:ascii="Arial-BoldMT" w:hAnsi="Arial-BoldMT" w:cs="Arial-BoldMT"/>
          <w:b/>
          <w:bCs/>
          <w:sz w:val="28"/>
          <w:szCs w:val="28"/>
        </w:rPr>
      </w:pPr>
    </w:p>
    <w:p w:rsidR="00006FA2" w:rsidRDefault="00006FA2" w:rsidP="001A64E4">
      <w:pPr>
        <w:autoSpaceDE w:val="0"/>
        <w:autoSpaceDN w:val="0"/>
        <w:adjustRightInd w:val="0"/>
        <w:spacing w:after="0" w:line="240" w:lineRule="auto"/>
        <w:jc w:val="both"/>
        <w:rPr>
          <w:rFonts w:ascii="Arial-BoldMT" w:hAnsi="Arial-BoldMT" w:cs="Arial-BoldMT"/>
          <w:b/>
          <w:bCs/>
          <w:sz w:val="28"/>
          <w:szCs w:val="28"/>
        </w:rPr>
      </w:pPr>
      <w:r>
        <w:rPr>
          <w:rFonts w:ascii="Arial-BoldMT" w:hAnsi="Arial-BoldMT" w:cs="Arial-BoldMT"/>
          <w:b/>
          <w:bCs/>
          <w:sz w:val="28"/>
          <w:szCs w:val="28"/>
        </w:rPr>
        <w:t>Development Control Committee</w:t>
      </w:r>
    </w:p>
    <w:p w:rsidR="00006FA2" w:rsidRDefault="00006FA2" w:rsidP="001A64E4">
      <w:pPr>
        <w:autoSpaceDE w:val="0"/>
        <w:autoSpaceDN w:val="0"/>
        <w:adjustRightInd w:val="0"/>
        <w:spacing w:after="0" w:line="240" w:lineRule="auto"/>
        <w:jc w:val="both"/>
        <w:rPr>
          <w:rFonts w:ascii="Arial-BoldMT" w:hAnsi="Arial-BoldMT" w:cs="Arial-BoldMT"/>
          <w:b/>
          <w:bCs/>
          <w:sz w:val="28"/>
          <w:szCs w:val="28"/>
        </w:rPr>
      </w:pP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Composition and role</w:t>
      </w: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comprises twelve County Councillors who are not in the Cabinet and deals with applications for planning permission for waste disposal and mineral extraction developments, and for development proposed by the Council.</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Meetings are open to the public but they may be excluded where information of an exempt or confidential nature is being discussed </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r>
        <w:rPr>
          <w:rFonts w:ascii="Arial-BoldMT" w:hAnsi="Arial-BoldMT" w:cs="Arial-BoldMT"/>
          <w:b/>
          <w:bCs/>
          <w:sz w:val="24"/>
          <w:szCs w:val="24"/>
        </w:rPr>
        <w:t>Terms of Reference</w:t>
      </w:r>
    </w:p>
    <w:p w:rsidR="00006FA2" w:rsidRDefault="00006FA2" w:rsidP="001A64E4">
      <w:pPr>
        <w:autoSpaceDE w:val="0"/>
        <w:autoSpaceDN w:val="0"/>
        <w:adjustRightInd w:val="0"/>
        <w:spacing w:after="0" w:line="240" w:lineRule="auto"/>
        <w:jc w:val="both"/>
        <w:rPr>
          <w:rFonts w:ascii="Arial-BoldMT" w:hAnsi="Arial-BoldMT" w:cs="Arial-BoldMT"/>
          <w:b/>
          <w:bCs/>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The Committee shall carry out the following functions:</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 </w:t>
      </w:r>
      <w:r>
        <w:rPr>
          <w:rFonts w:ascii="ArialMT" w:hAnsi="ArialMT" w:cs="ArialMT"/>
          <w:sz w:val="24"/>
          <w:szCs w:val="24"/>
        </w:rPr>
        <w:tab/>
        <w:t>To determine applications for planning permission, under Part III Section 62</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 Section 316 of the Town and Country Planning Act 1990 and the Town</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and Country Planning General Regulations 1992 where one or more of the</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following apply:</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 </w:t>
      </w:r>
      <w:r>
        <w:rPr>
          <w:rFonts w:ascii="ArialMT" w:hAnsi="ArialMT" w:cs="ArialMT"/>
          <w:sz w:val="24"/>
          <w:szCs w:val="24"/>
        </w:rPr>
        <w:tab/>
        <w:t>An objection to the application has been received;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 </w:t>
      </w:r>
      <w:r>
        <w:rPr>
          <w:rFonts w:ascii="ArialMT" w:hAnsi="ArialMT" w:cs="ArialMT"/>
          <w:sz w:val="24"/>
          <w:szCs w:val="24"/>
        </w:rPr>
        <w:tab/>
        <w:t>The application is supported by an Environmental Statement;</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(iii) </w:t>
      </w:r>
      <w:r>
        <w:rPr>
          <w:rFonts w:ascii="ArialMT" w:hAnsi="ArialMT" w:cs="ArialMT"/>
          <w:sz w:val="24"/>
          <w:szCs w:val="24"/>
        </w:rPr>
        <w:tab/>
        <w:t>A refusal is recommended by officers;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 xml:space="preserve">(iv) </w:t>
      </w:r>
      <w:r>
        <w:rPr>
          <w:rFonts w:ascii="ArialMT" w:hAnsi="ArialMT" w:cs="ArialMT"/>
          <w:sz w:val="24"/>
          <w:szCs w:val="24"/>
        </w:rPr>
        <w:tab/>
        <w:t>There is a conflict of interest with the functions of the Head of Service;</w:t>
      </w:r>
    </w:p>
    <w:p w:rsidR="00006FA2" w:rsidRDefault="00006FA2" w:rsidP="001A64E4">
      <w:pPr>
        <w:autoSpaceDE w:val="0"/>
        <w:autoSpaceDN w:val="0"/>
        <w:adjustRightInd w:val="0"/>
        <w:spacing w:after="0" w:line="240" w:lineRule="auto"/>
        <w:ind w:left="1440" w:hanging="720"/>
        <w:jc w:val="both"/>
        <w:rPr>
          <w:rFonts w:ascii="ArialMT" w:hAnsi="ArialMT" w:cs="ArialMT"/>
          <w:sz w:val="24"/>
          <w:szCs w:val="24"/>
        </w:rPr>
      </w:pPr>
      <w:r>
        <w:rPr>
          <w:rFonts w:ascii="ArialMT" w:hAnsi="ArialMT" w:cs="ArialMT"/>
          <w:sz w:val="24"/>
          <w:szCs w:val="24"/>
        </w:rPr>
        <w:t xml:space="preserve">(v) </w:t>
      </w:r>
      <w:r>
        <w:rPr>
          <w:rFonts w:ascii="ArialMT" w:hAnsi="ArialMT" w:cs="ArialMT"/>
          <w:sz w:val="24"/>
          <w:szCs w:val="24"/>
        </w:rPr>
        <w:tab/>
        <w:t>The application has been submitted by, or benefits, a councillor or officer of the County Council.</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2. </w:t>
      </w:r>
      <w:r>
        <w:rPr>
          <w:rFonts w:ascii="ArialMT" w:hAnsi="ArialMT" w:cs="ArialMT"/>
          <w:sz w:val="24"/>
          <w:szCs w:val="24"/>
        </w:rPr>
        <w:tab/>
        <w:t>To exercise the functions in the Town and Country Planning Act 1990 under Sections 70A (to decline to determine planning permission) 73 (to vary conditions of Planning Permissions), 94 (Completion Notices), 97 (Revocation and Modification Orders), 102 (Discontinuance Orders) 106 (Agreements Regulating Development).</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3. </w:t>
      </w:r>
      <w:r>
        <w:rPr>
          <w:rFonts w:ascii="ArialMT" w:hAnsi="ArialMT" w:cs="ArialMT"/>
          <w:sz w:val="24"/>
          <w:szCs w:val="24"/>
        </w:rPr>
        <w:tab/>
        <w:t>To exercise the functions relating to the making of determinations of planning applications under Section 92 (outline planning permission) of the Town and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4. </w:t>
      </w:r>
      <w:r>
        <w:rPr>
          <w:rFonts w:ascii="ArialMT" w:hAnsi="ArialMT" w:cs="ArialMT"/>
          <w:sz w:val="24"/>
          <w:szCs w:val="24"/>
        </w:rPr>
        <w:tab/>
        <w:t>To determine conditions to which old mining permissions, relevant planning permissions relating to dormant sites or active phase I or II sites, or mineral permissions relating to mining sites, are to be subject, under the Planning and</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Compensation Act 1991 and the Environment Act 1995.</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 xml:space="preserve">5. </w:t>
      </w:r>
      <w:r>
        <w:rPr>
          <w:rFonts w:ascii="ArialMT" w:hAnsi="ArialMT" w:cs="ArialMT"/>
          <w:sz w:val="24"/>
          <w:szCs w:val="24"/>
        </w:rPr>
        <w:tab/>
        <w:t>To exercise powers to enter into agreements for the execution of highway works under Section 278 of the Highways Act 1980 in relation to development the subject of an application before the Committee for determination.</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lastRenderedPageBreak/>
        <w:t>6.</w:t>
      </w:r>
      <w:r>
        <w:rPr>
          <w:rFonts w:ascii="ArialMT" w:hAnsi="ArialMT" w:cs="ArialMT"/>
          <w:sz w:val="24"/>
          <w:szCs w:val="24"/>
        </w:rPr>
        <w:tab/>
        <w:t>To exercise the function under Section 34 of the Wildlife and Countryside Act</w:t>
      </w:r>
      <w:r>
        <w:rPr>
          <w:rFonts w:ascii="ArialMT" w:hAnsi="ArialMT" w:cs="ArialMT"/>
          <w:sz w:val="24"/>
          <w:szCs w:val="24"/>
        </w:rPr>
        <w:tab/>
        <w:t>1981 (Limestone Pavement Orders).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7. </w:t>
      </w:r>
      <w:r>
        <w:rPr>
          <w:rFonts w:ascii="ArialMT" w:hAnsi="ArialMT" w:cs="ArialMT"/>
          <w:sz w:val="24"/>
          <w:szCs w:val="24"/>
        </w:rPr>
        <w:tab/>
        <w:t>To exercise powers under Sections 198 and 199 of the Town and County</w:t>
      </w:r>
      <w:r>
        <w:rPr>
          <w:rFonts w:ascii="ArialMT" w:hAnsi="ArialMT" w:cs="ArialMT"/>
          <w:sz w:val="24"/>
          <w:szCs w:val="24"/>
        </w:rPr>
        <w:tab/>
        <w:t>Planning Act 1990 (Tree Preservation Orders).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8. </w:t>
      </w:r>
      <w:r>
        <w:rPr>
          <w:rFonts w:ascii="ArialMT" w:hAnsi="ArialMT" w:cs="ArialMT"/>
          <w:sz w:val="24"/>
          <w:szCs w:val="24"/>
        </w:rPr>
        <w:tab/>
        <w:t>To exercise powers in relation to replacement trees under Sections 206 and</w:t>
      </w:r>
      <w:r>
        <w:rPr>
          <w:rFonts w:ascii="ArialMT" w:hAnsi="ArialMT" w:cs="ArialMT"/>
          <w:sz w:val="24"/>
          <w:szCs w:val="24"/>
        </w:rPr>
        <w:tab/>
        <w:t>207 and 213 of the Town and Country Planning Act 1990, and powers to grant</w:t>
      </w:r>
      <w:r>
        <w:rPr>
          <w:rFonts w:ascii="ArialMT" w:hAnsi="ArialMT" w:cs="ArialMT"/>
          <w:sz w:val="24"/>
          <w:szCs w:val="24"/>
        </w:rPr>
        <w:tab/>
        <w:t>consents under Tree Preservation Orders and to give directions as to the</w:t>
      </w:r>
      <w:r>
        <w:rPr>
          <w:rFonts w:ascii="ArialMT" w:hAnsi="ArialMT" w:cs="ArialMT"/>
          <w:sz w:val="24"/>
          <w:szCs w:val="24"/>
        </w:rPr>
        <w:tab/>
        <w:t>replanting of land under paragraphs 7 and 8 of the Schedule to the Trees</w:t>
      </w:r>
      <w:r>
        <w:rPr>
          <w:rFonts w:ascii="ArialMT" w:hAnsi="ArialMT" w:cs="ArialMT"/>
          <w:sz w:val="24"/>
          <w:szCs w:val="24"/>
        </w:rPr>
        <w:tab/>
        <w:t>Regulations 1999.</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9.</w:t>
      </w:r>
      <w:r>
        <w:rPr>
          <w:rFonts w:ascii="ArialMT" w:hAnsi="ArialMT" w:cs="ArialMT"/>
          <w:sz w:val="24"/>
          <w:szCs w:val="24"/>
        </w:rPr>
        <w:tab/>
      </w:r>
      <w:bookmarkStart w:id="0" w:name="_GoBack"/>
      <w:bookmarkEnd w:id="0"/>
      <w:r>
        <w:rPr>
          <w:rFonts w:ascii="ArialMT" w:hAnsi="ArialMT" w:cs="ArialMT"/>
          <w:sz w:val="24"/>
          <w:szCs w:val="24"/>
        </w:rPr>
        <w:t>To exercise powers to determine applications for Hazardous Substances</w:t>
      </w:r>
      <w:r>
        <w:rPr>
          <w:rFonts w:ascii="ArialMT" w:hAnsi="ArialMT" w:cs="ArialMT"/>
          <w:sz w:val="24"/>
          <w:szCs w:val="24"/>
        </w:rPr>
        <w:tab/>
        <w:t>Consent and related powers under Sections 9 and 10 of the Planning</w:t>
      </w:r>
      <w:r>
        <w:rPr>
          <w:rFonts w:ascii="ArialMT" w:hAnsi="ArialMT" w:cs="ArialMT"/>
          <w:sz w:val="24"/>
          <w:szCs w:val="24"/>
        </w:rPr>
        <w:tab/>
        <w:t>(Hazardous Substances)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hanging="720"/>
        <w:jc w:val="both"/>
        <w:rPr>
          <w:rFonts w:ascii="ArialMT" w:hAnsi="ArialMT" w:cs="ArialMT"/>
          <w:sz w:val="24"/>
          <w:szCs w:val="24"/>
        </w:rPr>
      </w:pPr>
      <w:r>
        <w:rPr>
          <w:rFonts w:ascii="ArialMT" w:hAnsi="ArialMT" w:cs="ArialMT"/>
          <w:sz w:val="24"/>
          <w:szCs w:val="24"/>
        </w:rPr>
        <w:t>10.</w:t>
      </w:r>
      <w:r>
        <w:rPr>
          <w:rFonts w:ascii="ArialMT" w:hAnsi="ArialMT" w:cs="ArialMT"/>
          <w:sz w:val="24"/>
          <w:szCs w:val="24"/>
        </w:rPr>
        <w:tab/>
        <w:t>To make any appointments to outside bodies to which the Council is entitled to have representation in connection with the discharge of any of the Committee’s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r>
        <w:rPr>
          <w:rFonts w:ascii="ArialMT" w:hAnsi="ArialMT" w:cs="ArialMT"/>
          <w:sz w:val="24"/>
          <w:szCs w:val="24"/>
        </w:rPr>
        <w:t>functions.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11. </w:t>
      </w:r>
      <w:r>
        <w:rPr>
          <w:rFonts w:ascii="ArialMT" w:hAnsi="ArialMT" w:cs="ArialMT"/>
          <w:sz w:val="24"/>
          <w:szCs w:val="24"/>
        </w:rPr>
        <w:tab/>
        <w:t>To authorise by Order the stopping up or diversion of footpaths or bridleways</w:t>
      </w:r>
      <w:r>
        <w:rPr>
          <w:rFonts w:ascii="ArialMT" w:hAnsi="ArialMT" w:cs="ArialMT"/>
          <w:sz w:val="24"/>
          <w:szCs w:val="24"/>
        </w:rPr>
        <w:tab/>
        <w:t>under section 257 and 261 of the Town and 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12. </w:t>
      </w:r>
      <w:r>
        <w:rPr>
          <w:rFonts w:ascii="ArialMT" w:hAnsi="ArialMT" w:cs="ArialMT"/>
          <w:sz w:val="24"/>
          <w:szCs w:val="24"/>
        </w:rPr>
        <w:tab/>
        <w:t>To extinguish by Order public rights of way over land held for planning purposes</w:t>
      </w:r>
      <w:r>
        <w:rPr>
          <w:rFonts w:ascii="ArialMT" w:hAnsi="ArialMT" w:cs="ArialMT"/>
          <w:sz w:val="24"/>
          <w:szCs w:val="24"/>
        </w:rPr>
        <w:tab/>
        <w:t>under Section 258 of the Town and Country Planning Act 1990.</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13. </w:t>
      </w:r>
      <w:r>
        <w:rPr>
          <w:rFonts w:ascii="ArialMT" w:hAnsi="ArialMT" w:cs="ArialMT"/>
          <w:sz w:val="24"/>
          <w:szCs w:val="24"/>
        </w:rPr>
        <w:tab/>
        <w:t>To establish a Sub-Committee(s) to undertake any part of the Committee’s</w:t>
      </w:r>
      <w:r>
        <w:rPr>
          <w:rFonts w:ascii="ArialMT" w:hAnsi="ArialMT" w:cs="ArialMT"/>
          <w:sz w:val="24"/>
          <w:szCs w:val="24"/>
        </w:rPr>
        <w:tab/>
        <w:t>functions.</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jc w:val="both"/>
        <w:rPr>
          <w:rFonts w:ascii="ArialMT" w:hAnsi="ArialMT" w:cs="ArialMT"/>
          <w:sz w:val="24"/>
          <w:szCs w:val="24"/>
        </w:rPr>
      </w:pPr>
      <w:r>
        <w:rPr>
          <w:rFonts w:ascii="ArialMT" w:hAnsi="ArialMT" w:cs="ArialMT"/>
          <w:sz w:val="24"/>
          <w:szCs w:val="24"/>
        </w:rPr>
        <w:t xml:space="preserve">14. </w:t>
      </w:r>
      <w:r>
        <w:rPr>
          <w:rFonts w:ascii="ArialMT" w:hAnsi="ArialMT" w:cs="ArialMT"/>
          <w:sz w:val="24"/>
          <w:szCs w:val="24"/>
        </w:rPr>
        <w:tab/>
        <w:t>All members of the Committee must:</w:t>
      </w:r>
    </w:p>
    <w:p w:rsidR="00006FA2" w:rsidRDefault="00006FA2" w:rsidP="001A64E4">
      <w:pPr>
        <w:autoSpaceDE w:val="0"/>
        <w:autoSpaceDN w:val="0"/>
        <w:adjustRightInd w:val="0"/>
        <w:spacing w:after="0" w:line="240" w:lineRule="auto"/>
        <w:jc w:val="both"/>
        <w:rPr>
          <w:rFonts w:ascii="ArialMT" w:hAnsi="ArialMT" w:cs="ArialMT"/>
          <w:sz w:val="24"/>
          <w:szCs w:val="24"/>
        </w:rPr>
      </w:pPr>
    </w:p>
    <w:p w:rsidR="00006FA2" w:rsidRDefault="00006FA2" w:rsidP="001A64E4">
      <w:pPr>
        <w:autoSpaceDE w:val="0"/>
        <w:autoSpaceDN w:val="0"/>
        <w:adjustRightInd w:val="0"/>
        <w:spacing w:after="0" w:line="240" w:lineRule="auto"/>
        <w:ind w:left="1440"/>
        <w:jc w:val="both"/>
        <w:rPr>
          <w:rFonts w:ascii="ArialMT" w:hAnsi="ArialMT" w:cs="ArialMT"/>
          <w:sz w:val="24"/>
          <w:szCs w:val="24"/>
        </w:rPr>
      </w:pPr>
      <w:r>
        <w:rPr>
          <w:rFonts w:ascii="ArialMT" w:hAnsi="ArialMT" w:cs="ArialMT"/>
          <w:sz w:val="24"/>
          <w:szCs w:val="24"/>
        </w:rPr>
        <w:t>(i) Have undertaken mandatory training on the relevant law and procedures which relate to the committee’s work.</w:t>
      </w:r>
    </w:p>
    <w:p w:rsidR="00006FA2" w:rsidRDefault="00006FA2" w:rsidP="001A64E4">
      <w:pPr>
        <w:autoSpaceDE w:val="0"/>
        <w:autoSpaceDN w:val="0"/>
        <w:adjustRightInd w:val="0"/>
        <w:spacing w:after="0" w:line="240" w:lineRule="auto"/>
        <w:ind w:firstLine="720"/>
        <w:jc w:val="both"/>
        <w:rPr>
          <w:rFonts w:ascii="ArialMT" w:hAnsi="ArialMT" w:cs="ArialMT"/>
          <w:sz w:val="24"/>
          <w:szCs w:val="24"/>
        </w:rPr>
      </w:pPr>
    </w:p>
    <w:p w:rsidR="00006FA2" w:rsidRDefault="00006FA2" w:rsidP="001A64E4">
      <w:pPr>
        <w:autoSpaceDE w:val="0"/>
        <w:autoSpaceDN w:val="0"/>
        <w:adjustRightInd w:val="0"/>
        <w:spacing w:after="0" w:line="240" w:lineRule="auto"/>
        <w:ind w:left="720" w:firstLine="720"/>
        <w:jc w:val="both"/>
        <w:rPr>
          <w:rFonts w:ascii="ArialMT" w:hAnsi="ArialMT" w:cs="ArialMT"/>
          <w:sz w:val="24"/>
          <w:szCs w:val="24"/>
        </w:rPr>
      </w:pPr>
      <w:r>
        <w:rPr>
          <w:rFonts w:ascii="ArialMT" w:hAnsi="ArialMT" w:cs="ArialMT"/>
          <w:sz w:val="24"/>
          <w:szCs w:val="24"/>
        </w:rPr>
        <w:t>(ii) Undertake further mandatory training on an ongoing basis whilst they</w:t>
      </w:r>
      <w:r>
        <w:rPr>
          <w:rFonts w:ascii="ArialMT" w:hAnsi="ArialMT" w:cs="ArialMT"/>
          <w:sz w:val="24"/>
          <w:szCs w:val="24"/>
        </w:rPr>
        <w:tab/>
        <w:t>continue to be members of the Committee.</w:t>
      </w:r>
    </w:p>
    <w:p w:rsidR="00D74E5E" w:rsidRDefault="00D74E5E" w:rsidP="001A64E4">
      <w:pPr>
        <w:autoSpaceDE w:val="0"/>
        <w:autoSpaceDN w:val="0"/>
        <w:adjustRightInd w:val="0"/>
        <w:spacing w:after="0" w:line="240" w:lineRule="auto"/>
        <w:ind w:left="720" w:firstLine="720"/>
        <w:jc w:val="both"/>
        <w:rPr>
          <w:rFonts w:ascii="ArialMT" w:hAnsi="ArialMT" w:cs="ArialMT"/>
          <w:sz w:val="24"/>
          <w:szCs w:val="24"/>
        </w:rPr>
      </w:pPr>
    </w:p>
    <w:p w:rsidR="00D74E5E" w:rsidRPr="0092069B" w:rsidRDefault="00D74E5E" w:rsidP="00D74E5E">
      <w:pPr>
        <w:pStyle w:val="Heading1"/>
        <w:ind w:left="720"/>
        <w:rPr>
          <w:rFonts w:eastAsia="Times New Roman"/>
        </w:rPr>
      </w:pPr>
      <w:r w:rsidRPr="0092069B">
        <w:rPr>
          <w:rFonts w:eastAsia="Times New Roman"/>
          <w:b w:val="0"/>
        </w:rPr>
        <w:t>The decision on whether training is mandatory will lie with the Monitoring Officer. All Members will be informed in advance if training is mandatory</w:t>
      </w:r>
      <w:r w:rsidRPr="0092069B">
        <w:rPr>
          <w:rFonts w:eastAsia="Times New Roman"/>
        </w:rPr>
        <w:t xml:space="preserve">. </w:t>
      </w:r>
    </w:p>
    <w:p w:rsidR="00D74E5E" w:rsidRPr="0092069B" w:rsidRDefault="00D74E5E" w:rsidP="001A64E4">
      <w:pPr>
        <w:autoSpaceDE w:val="0"/>
        <w:autoSpaceDN w:val="0"/>
        <w:adjustRightInd w:val="0"/>
        <w:spacing w:after="0" w:line="240" w:lineRule="auto"/>
        <w:ind w:left="720" w:firstLine="720"/>
        <w:jc w:val="both"/>
        <w:rPr>
          <w:rFonts w:ascii="ArialMT" w:hAnsi="ArialMT" w:cs="ArialMT"/>
          <w:sz w:val="24"/>
          <w:szCs w:val="24"/>
        </w:rPr>
      </w:pPr>
    </w:p>
    <w:sectPr w:rsidR="00D74E5E" w:rsidRPr="009206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A2"/>
    <w:rsid w:val="00006FA2"/>
    <w:rsid w:val="001A64E4"/>
    <w:rsid w:val="001F348E"/>
    <w:rsid w:val="004C490C"/>
    <w:rsid w:val="004E0AAA"/>
    <w:rsid w:val="00604810"/>
    <w:rsid w:val="00865A66"/>
    <w:rsid w:val="008F421B"/>
    <w:rsid w:val="0092069B"/>
    <w:rsid w:val="00AF1FFA"/>
    <w:rsid w:val="00AF381B"/>
    <w:rsid w:val="00D52298"/>
    <w:rsid w:val="00D74E5E"/>
    <w:rsid w:val="00F735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925F7"/>
  <w15:chartTrackingRefBased/>
  <w15:docId w15:val="{7FF46D7C-2E65-4EDB-9346-01DFE0FF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E5E"/>
    <w:pPr>
      <w:keepNext/>
      <w:spacing w:after="0" w:line="240" w:lineRule="auto"/>
      <w:outlineLvl w:val="0"/>
    </w:pPr>
    <w:rPr>
      <w:rFonts w:ascii="Arial" w:hAnsi="Arial" w:cs="Arial"/>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2298"/>
    <w:rPr>
      <w:sz w:val="16"/>
      <w:szCs w:val="16"/>
    </w:rPr>
  </w:style>
  <w:style w:type="paragraph" w:styleId="CommentText">
    <w:name w:val="annotation text"/>
    <w:basedOn w:val="Normal"/>
    <w:link w:val="CommentTextChar"/>
    <w:uiPriority w:val="99"/>
    <w:semiHidden/>
    <w:unhideWhenUsed/>
    <w:rsid w:val="00D52298"/>
    <w:pPr>
      <w:spacing w:line="240" w:lineRule="auto"/>
    </w:pPr>
    <w:rPr>
      <w:sz w:val="20"/>
      <w:szCs w:val="20"/>
    </w:rPr>
  </w:style>
  <w:style w:type="character" w:customStyle="1" w:styleId="CommentTextChar">
    <w:name w:val="Comment Text Char"/>
    <w:basedOn w:val="DefaultParagraphFont"/>
    <w:link w:val="CommentText"/>
    <w:uiPriority w:val="99"/>
    <w:semiHidden/>
    <w:rsid w:val="00D52298"/>
    <w:rPr>
      <w:sz w:val="20"/>
      <w:szCs w:val="20"/>
    </w:rPr>
  </w:style>
  <w:style w:type="paragraph" w:styleId="CommentSubject">
    <w:name w:val="annotation subject"/>
    <w:basedOn w:val="CommentText"/>
    <w:next w:val="CommentText"/>
    <w:link w:val="CommentSubjectChar"/>
    <w:uiPriority w:val="99"/>
    <w:semiHidden/>
    <w:unhideWhenUsed/>
    <w:rsid w:val="00D52298"/>
    <w:rPr>
      <w:b/>
      <w:bCs/>
    </w:rPr>
  </w:style>
  <w:style w:type="character" w:customStyle="1" w:styleId="CommentSubjectChar">
    <w:name w:val="Comment Subject Char"/>
    <w:basedOn w:val="CommentTextChar"/>
    <w:link w:val="CommentSubject"/>
    <w:uiPriority w:val="99"/>
    <w:semiHidden/>
    <w:rsid w:val="00D52298"/>
    <w:rPr>
      <w:b/>
      <w:bCs/>
      <w:sz w:val="20"/>
      <w:szCs w:val="20"/>
    </w:rPr>
  </w:style>
  <w:style w:type="paragraph" w:styleId="BalloonText">
    <w:name w:val="Balloon Text"/>
    <w:basedOn w:val="Normal"/>
    <w:link w:val="BalloonTextChar"/>
    <w:uiPriority w:val="99"/>
    <w:semiHidden/>
    <w:unhideWhenUsed/>
    <w:rsid w:val="00D52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298"/>
    <w:rPr>
      <w:rFonts w:ascii="Segoe UI" w:hAnsi="Segoe UI" w:cs="Segoe UI"/>
      <w:sz w:val="18"/>
      <w:szCs w:val="18"/>
    </w:rPr>
  </w:style>
  <w:style w:type="character" w:customStyle="1" w:styleId="Heading1Char">
    <w:name w:val="Heading 1 Char"/>
    <w:basedOn w:val="DefaultParagraphFont"/>
    <w:link w:val="Heading1"/>
    <w:uiPriority w:val="9"/>
    <w:rsid w:val="00D74E5E"/>
    <w:rPr>
      <w:rFonts w:ascii="Arial" w:hAnsi="Arial" w:cs="Arial"/>
      <w:b/>
      <w:bCs/>
      <w:kern w:val="36"/>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8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Rawcliffe, Cath</dc:creator>
  <cp:keywords/>
  <dc:description/>
  <cp:lastModifiedBy>Rawcliffe, Cath</cp:lastModifiedBy>
  <cp:revision>4</cp:revision>
  <dcterms:created xsi:type="dcterms:W3CDTF">2019-07-19T10:36:00Z</dcterms:created>
  <dcterms:modified xsi:type="dcterms:W3CDTF">2020-07-29T10:14:00Z</dcterms:modified>
</cp:coreProperties>
</file>